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72.5]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(65.4%)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(72.7%)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2026-09-27T12:41:57Z</dcterms:modified>
  <cp:category/>
</cp:coreProperties>
</file>