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169)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72.5]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(45.2%)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(68.3%)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(47.5%)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(87.6%)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(30.1%)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(66.9%)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(59.3%)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2026-09-27T12:41:48Z</dcterms:modified>
  <cp:category/>
</cp:coreProperties>
</file>