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MAD2L1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20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(0.64–1.13)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(0.70–0.96)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 (1.08–1.98)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(0.57–1.02)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1.78 (1.33–2.37)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(0.47–1.25)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(0.70–0.98)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(1.20–2.20)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(0.53–0.95)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(1.39–2.49)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(0.72–1.03)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1.68 (1.22–2.31)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(0.55–1.02)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(1.35–2.50)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(0.73–1.04)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1.68 (1.22–2.31)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(0.56–1.03)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1.83 (1.35–2.49)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(0.54–1.47)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2026-10-04T16:47:52Z</dcterms:modified>
  <cp:category/>
</cp:coreProperties>
</file>