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(1.08–2.09)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(0.68–1.27)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(1.29–2.47)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(0.74–1.07)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(1.16–2.25)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(0.62–1.18)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(1.36–2.62)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2026-10-04T16:47:52Z</dcterms:modified>
  <cp:category/>
</cp:coreProperties>
</file>