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MAD2L1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(0.54–1.12)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(0.66–0.97)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(0.66–1.36)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(0.64–1.32)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 (1.46–3.04)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(0.68–1.00)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(0.72–1.49)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(0.59–1.21)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 (1.43–3.00)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2026-10-04T16:47:54Z</dcterms:modified>
  <cp:category/>
</cp:coreProperties>
</file>