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MAD2L1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145.0 (105.0–NR)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73.8% (68.6–79.4)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64.4% (58.6–70.8)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81.9% (77.3–86.7)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70.6% (64.9–76.7)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(102.0–NR)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(67.9–79.8)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63.9% (57.5–71.0)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79.6% (74.1–85.5)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66.5% (59.8–73.9)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(62.9–74.9)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64.4% (58.3–71.0)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(74.8–85.2)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(70.4–81.8)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66.7% (60.2–73.9)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62.8% (56.0–70.4)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74.4% (68.1–81.3)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70.0% (63.3–77.5)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2026-10-04T16:47:51Z</dcterms:modified>
  <cp:category/>
</cp:coreProperties>
</file>