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MAD2L1 expression (High vs Low, median split of probe 203362_s_at within tumors) in GSE39582 (CIT, colon). HR from Cox regression; multivariable and time-split gene HRs are per 1 log2 unit of expression; multivariable models adjusted for age group, years, sex and pathologic stage group; '+ MMR status' additionally adjusts for mmr status and '(MMR status known)' is the model without it on the same patients. Interaction p = likelihood-ratio test for MAD2L1 expression × mmr status. Time-split HRs (0–24 / &gt;24 months, adjusted) are shown only when the gene term violated proportional hazards. RMST difference = High − Low restricted mean survival time up to 60 months. Relapse-free survival excludes stage 4. Direction compared with the TCGA-COAD multivariable HR 0.83.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805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0.85 (0.64–1.13)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3.15 (0.17, 6.14)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 (0.70–0.96)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0.83 (0.70–0.98)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 (0.72–1.03)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0.97 (0.71–1.33)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2.12 (-1.33, 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0.89 (0.74–1.07)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0.63 (0.45–0.88)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4.88 (1.20, 8.55)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 (0.61–0.86)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 (0.62–0.89)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 (0.63–0.92)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0.79 (0.65–0.96)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0.78 (0.54–1.12)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2.92 (-1.41, 7.25)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0.80 (0.66–0.97)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0.82 (0.68–1.00)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2026-10-04T16:47:50Z</dcterms:modified>
  <cp:category/>
</cp:coreProperties>
</file>