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(0.96–1.83)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(0.61–1.91)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2.75 (1.47–5.11)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2.35 (1.31–4.22)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2026-10-04T11:47:55Z</dcterms:modified>
  <cp:category/>
</cp:coreProperties>
</file>