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(0.99–2.65)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(0.62–1.95)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(1.46–5.08)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(1.21–3.91)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2026-10-04T11:47:57Z</dcterms:modified>
  <cp:category/>
</cp:coreProperties>
</file>