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(0.58–1.20)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(0.58–1.82)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(1.57–5.37)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(1.25–3.96)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2026-10-04T11:47:59Z</dcterms:modified>
  <cp:category/>
</cp:coreProperties>
</file>