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(0.92–1.73)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(0.65–2.13)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2.71 (1.46–5.05)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(1.25–3.98)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2026-10-04T11:48:15Z</dcterms:modified>
  <cp:category/>
</cp:coreProperties>
</file>