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(0.84–2.14)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(0.60–1.88)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(1.57–5.45)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2.27 (1.27–4.06)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2026-10-04T11:48:01Z</dcterms:modified>
  <cp:category/>
</cp:coreProperties>
</file>