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(0.61–1.21)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(0.57–1.81)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2.69 (1.43–5.04)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2026-10-04T11:48:17Z</dcterms:modified>
  <cp:category/>
</cp:coreProperties>
</file>