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 (0.86–1.10)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(0.59–1.84)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2.90 (1.56–5.39)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2.25 (1.26–4.01)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2026-10-04T11:48:13Z</dcterms:modified>
  <cp:category/>
</cp:coreProperties>
</file>