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 (0.97–2.62)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(0.61–1.90)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 (1.42–5.01)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2.23 (1.24–4.00)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2026-10-04T11:48:03Z</dcterms:modified>
  <cp:category/>
</cp:coreProperties>
</file>