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(0.70–1.23)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(0.58–1.83)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2.92 (1.57–5.43)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(1.26–4.01)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2026-10-04T11:48:10Z</dcterms:modified>
  <cp:category/>
</cp:coreProperties>
</file>