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(0.70–1.15)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(0.59–1.85)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(1.49–5.14)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2026-10-04T11:48:08Z</dcterms:modified>
  <cp:category/>
</cp:coreProperties>
</file>