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(65.9–80.5)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60.9% (50.3–73.8)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82.7% (76.7–89.1)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68.0% (58.1–79.5)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2026-10-04T11:48:20Z</dcterms:modified>
  <cp:category/>
</cp:coreProperties>
</file>