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gene HRs (univariable, multivariable, strata, time-split) are per 1 log2 unit of expression; multivariable model adjusted for ageg, sex, pathologic stage group and pretreatment cea. Sensitivity: stratified by tss. q = Benjamini–Hochberg across exploratory genes only; the primary gene (MAD2L1)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MAD2L1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(83.2–NR)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0.76 (0.61–0.95)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(0.61–1.21)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0.89 (0.61–1.29)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4.27 (-0.05, 8.59)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1.33 (0.96–1.83)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1.62 (1.10–2.39)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(-3.17, 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1.62 (0.99–2.65)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1.63 (1.01–2.63)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-2.15 (-6.46,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 (0.58–1.20)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(0.54–1.26)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3.84 (-0.45, 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1.34 (0.84–2.14)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1.48 (0.91–2.41)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(-3.00,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1.59 (0.97–2.62)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1.96 (1.09–3.55)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-1.18 (-5.48,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1.47 (1.07–2.01)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1.58 (1.09–2.28)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-5.81 (-10.10, 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0.89 (0.70–1.15)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(0.66–1.12)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(0.78–1.48)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(0.38–0.90)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(-4.11,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 (0.70–1.23)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 (0.67–1.29)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6.02 (1.76, 10.28)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 (0.86–1.10)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(0.88–1.15)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5.10 (0.81, 9.38)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(67.2–NR)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81.3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1.43 (1.16–1.77)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1.26 (0.92–1.73)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1.20 (0.86–1.66)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-5.29 (-9.57, -1.01)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2026-10-04T11:48:19Z</dcterms:modified>
  <cp:category/>
</cp:coreProperties>
</file>