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(0.72–0.99)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(0.55–0.99)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(1.33–2.38)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(0.57–1.05)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(1.29–2.39)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(1.29–2.38)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(0.56–1.52)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2026-10-04T12:01:44Z</dcterms:modified>
  <cp:category/>
</cp:coreProperties>
</file>