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(0.75–1.07)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1.80 (1.30–2.49)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2026-10-04T12:01:44Z</dcterms:modified>
  <cp:category/>
</cp:coreProperties>
</file>