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(0.68–0.94)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2.71 (1.98–3.71)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(0.69–0.96)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(0.58–1.08)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 (1.84–3.55)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(0.71–1.00)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(0.59–1.11)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 (1.80–3.48)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 (0.23–0.83)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2026-10-04T12:01:45Z</dcterms:modified>
  <cp:category/>
</cp:coreProperties>
</file>