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MAD2L1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20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(0.58–1.09)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(0.71–0.99)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(0.63–1.20)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2.66 (1.88–3.76)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2026-10-04T12:01:45Z</dcterms:modified>
  <cp:category/>
</cp:coreProperties>
</file>