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MAD2L1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145.0 (105.0–NR)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73.8% (68.6–79.4)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64.4% (58.6–70.8)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81.9% (77.3–86.7)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70.6% (64.9–76.7)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(102.0–NR)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(67.9–79.8)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63.9% (57.5–71.0)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79.6% (74.1–85.5)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66.5% (59.8–73.9)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(119.0–NR)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(58.5–70.3)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60.2% (54.4–66.7)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75.8% (70.8–81.3)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(66.7–78.0)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(74.0–NR)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61.7% (55.5–68.7)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58.2% (51.7–65.4)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(63.6–76.6)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(59.3–73.1)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2026-10-04T12:01:43Z</dcterms:modified>
  <cp:category/>
</cp:coreProperties>
</file>