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External validation of MAD2L1 expression (High vs Low, median split of probe 203362_s_at within tumors) in GSE39582 (CIT, colon). HR from Cox regression; multivariable and time-split gene HRs are per 1 log2 unit of expression; multivariable models adjusted for ageg, sex, pathologic stage group and pretreatment cea; '+ MMR status' additionally adjusts for mmr status and '(MMR status known)' is the model without it on the same patients. Interaction p = likelihood-ratio test for MAD2L1 expression × mmr status. Time-split HRs (0–24 / &gt;24 months, adjusted) are shown only when the gene term violated proportional hazards. RMST difference = High − Low restricted mean survival time up to 60 months. Relapse-free survival excludes stage NaN. Direction compared with the TCGA-COAD multivariable HR 0.86.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604"/>
        <w:gridCol w:w="1064"/>
        <w:gridCol w:w="2705"/>
        <w:gridCol w:w="621"/>
        <w:gridCol w:w="815"/>
        <w:gridCol w:w="1344"/>
        <w:gridCol w:w="805"/>
        <w:gridCol w:w="726"/>
        <w:gridCol w:w="1262"/>
        <w:gridCol w:w="1441"/>
        <w:gridCol w:w="1192"/>
        <w:gridCol w:w="1091"/>
        <w:gridCol w:w="3109"/>
        <w:gridCol w:w="928"/>
        <w:gridCol w:w="2028"/>
        <w:gridCol w:w="1840"/>
      </w:tblGrid>
      <w:tr>
        <w:trPr>
          <w:trHeight w:val="542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Endpoint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Population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EPV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Stage 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PH p (gene term)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Interaction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Log-rank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RMST difference at 60 mo,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RMST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Direction as TCGA-COAD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Exploratory (EPV &lt; 10)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562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0.85 (0.64–1.13)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0.268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0.082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0.269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3.15 (0.17, 6.14)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0.039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Univariable, continuous (per 1 log2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0.82 (0.70–0.96)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0.84 (0.72–0.99)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0.87 (0.73–1.03)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0.88 (0.74–1.04)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pMMR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0.97 (0.71–1.33)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0.865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0.869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2.12 (-1.33, 5.56)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pMMR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Univariable, continuous (per 1 log2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0.88 (0.74–1.05)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pMMR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0.90 (0.75–1.07)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0.66 (0.49–0.89)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5.16 (1.32, 9.01)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Univariable, continuous (per 1 log2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0.76 (0.65–0.88)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0.80 (0.68–0.94)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0.81 (0.69–0.96)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0.85 (0.71–1.00)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Multivariable, 0–24 months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0.78 (0.66–0.94)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Multivariable, &gt;24 months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0.86 (0.58–1.25)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pMMR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0.79 (0.58–1.09)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3.13 (-1.36, 7.62)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pMMR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Univariable, continuous (per 1 log2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0.84 (0.71–0.99)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2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pMMR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436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0.88 (0.74–1.05)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0.145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0.077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</w:tbl>
    <w:sectPr>
      <w:pgMar w:header="708" w:bottom="1417" w:top="1417" w:right="1417" w:left="1417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2026-10-04T12:01:42Z</dcterms:modified>
  <cp:category/>
</cp:coreProperties>
</file>