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(0.20–3.18)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(0.23–2.61)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1.65 (0.52–5.18)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(0.46–4.96)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2026-10-04T11:48:24Z</dcterms:modified>
  <cp:category/>
</cp:coreProperties>
</file>