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(0.64–2.12)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(0.24–2.60)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(0.50–5.24)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 (0.49–5.09)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2026-10-04T11:48:44Z</dcterms:modified>
  <cp:category/>
</cp:coreProperties>
</file>