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MAD2L1 expression, TCGA-READ (n = 103, events = 13, EPV = 3.2;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00"/>
        <w:gridCol w:w="1489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0.70 (0.33–1.48)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 (0.23–2.51)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1.54 (0.48–4.95)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1.51 (0.46–4.93)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2026-10-04T11:48:46Z</dcterms:modified>
  <cp:category/>
</cp:coreProperties>
</file>