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 (0.23–1.41)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(0.24–2.62)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1.65 (0.52–5.25)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(0.48–5.28)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2026-10-04T11:48:36Z</dcterms:modified>
  <cp:category/>
</cp:coreProperties>
</file>