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(0.39–1.43)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(0.24–2.66)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1.72 (0.54–5.47)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(0.46–4.79)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2026-10-04T11:48:40Z</dcterms:modified>
  <cp:category/>
</cp:coreProperties>
</file>