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89.7% (82.6–97.4)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 (36.5–88.5)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91.3% (84.1–99.1)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65.9% (46.3–93.8)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(82.9–98.1)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(68.5–96.2)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(77.0–95.1)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(62.5–92.8)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85.9% (76.4–96.7)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31.3% (7.4–100.0)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(81.9–97.2)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71.6% (54.7–93.7)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(83.6–97.4)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(55.0–94.5)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83.5% (74.3–93.8)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(30.2–93.4)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88.5% (80.7–97.1)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69.9% (51.9–94.3)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93.5% (87.4–100.0)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(49.2–100.0)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89.3% (80.3–99.3)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60.1% (37.1–97.4)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80.6% (70.6–92.0)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40.6% (20.4–80.6)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47.0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(67.9–92.7)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16.6% (3.1–89.0)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90.0% (82.6–98.1)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72.3% (54.4–96.1)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2026-10-04T11:48:49Z</dcterms:modified>
  <cp:category/>
</cp:coreProperties>
</file>