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gene HRs (univariable, multivariable, strata, time-split) are per 1 log2 unit of expression; multivariable model adjusted for ageg, sex, pathologic stage group and pretreatment cea. Sensitivity: stratified by tss. q = Benjamini–Hochberg across exploratory genes only; the primary gene (MAD2L1)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(0.33–1.48)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(0.33–1.64)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8.29 (1.38, 15.20)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(0.20–3.18)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(0.21–4.17)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 (0.18–1.03)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 (0.21–1.28)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1.48 (0.80–2.76)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1.40 (0.72–2.70)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1.39 (0.69–2.80)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2.02 (0.43–9.36)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(0.41–1.39)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(0.45–1.93)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1.08 (0.47–2.49)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(0.13–1.01)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(0.12–1.09)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(0.13–1.42)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(0.31–1.46)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 (0.00–0.84)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(0.28–2.31)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 (0.28–2.55)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 (0.00–1.36)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(0.71–1.73)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1.10 (0.68–1.77)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(0.45–2.51)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 (0.42–1.98)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 (0.03–1.72)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(0.51–0.98)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(0.45–0.92)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(0.56–1.70)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(0.88–2.09)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(0.64–2.12)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(0.56–2.06)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2026-10-04T11:48:48Z</dcterms:modified>
  <cp:category/>
</cp:coreProperties>
</file>