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 (0.96–1.83)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(0.61–1.91)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2.75 (1.47–5.11)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2.35 (1.31–4.22)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2026-10-04T00:32:30Z</dcterms:modified>
  <cp:category/>
</cp:coreProperties>
</file>