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(0.99–2.65)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(0.62–1.95)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(1.46–5.08)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(1.21–3.91)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2026-10-04T00:32:32Z</dcterms:modified>
  <cp:category/>
</cp:coreProperties>
</file>