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(0.84–2.14)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(0.60–1.88)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(1.57–5.45)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2026-10-04T00:32:37Z</dcterms:modified>
  <cp:category/>
</cp:coreProperties>
</file>