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(0.86–1.10)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(0.59–1.84)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2.90 (1.56–5.39)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2.25 (1.26–4.01)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2026-10-04T00:32:46Z</dcterms:modified>
  <cp:category/>
</cp:coreProperties>
</file>