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 (0.97–2.62)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(0.61–1.90)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2.67 (1.42–5.01)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(1.24–4.00)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2026-10-04T00:32:39Z</dcterms:modified>
  <cp:category/>
</cp:coreProperties>
</file>