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 (0.70–1.23)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(0.58–1.83)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2.92 (1.57–5.43)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 (1.26–4.01)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2026-10-04T00:32:44Z</dcterms:modified>
  <cp:category/>
</cp:coreProperties>
</file>