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(0.70–1.15)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(0.59–1.85)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(1.49–5.14)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2026-10-04T00:32:43Z</dcterms:modified>
  <cp:category/>
</cp:coreProperties>
</file>