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Univariable Cox regression for overall survival, TCGA-COAD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(0.58–1.29)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(0.84–1.23)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1.21 (0.81–1.81)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1.34 (0.93–1.94)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 (0.44–0.99)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(0.66–1.13)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(0.55–1.22)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(0.69–1.32)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 (0.82–1.83)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1.32 (0.93–1.88)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1.75 (1.17–2.63)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(1.10–1.74)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(0.55–1.22)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(0.74–1.05)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 (0.41–0.93)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(0.71–1.10)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 (0.39–0.90)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(0.87–1.04)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1.62 (1.08–2.44)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1.43 (1.16–1.77)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(0.59–1.32)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2.95 (1.92–4.53)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2.80 (1.60–4.92)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2026-10-04T00:32:52Z</dcterms:modified>
  <cp:category/>
</cp:coreProperties>
</file>