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Kaplan–Meier estimates by gene expression, TCGA-COAD. NR = not reached.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71"/>
        <w:gridCol w:w="921"/>
        <w:gridCol w:w="681"/>
        <w:gridCol w:w="931"/>
        <w:gridCol w:w="2716"/>
        <w:gridCol w:w="1955"/>
        <w:gridCol w:w="1955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3-year OS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5-year OS (95% CI)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83.2 (62.7–NR)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77.4% (71.1–84.4)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67.4% (58.0–78.4)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78.4% (71.8–85.7)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62.5% (52.0–75.1)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80.1% (74.1–86.6)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68.7% (59.2–79.8)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65.8 (49.9–NR)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75.6% (68.6–83.3)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59.8% (48.9–73.2)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(60.7–NR)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73.4% (66.5–81.1)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61.4% (50.6–74.5)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82.6% (76.7–88.9)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67.8% (58.0–79.4)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70.1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76.8% (70.1–84.1)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64.2% (54.5–75.7)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(92.7–NR)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79.4% (73.3–86.0)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65.1% (54.5–77.8)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79.7% (73.4–86.5)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68.2% (58.7–79.3)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76.4% (69.7–83.6)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61.3% (50.6–74.2)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81.2% (74.6–88.3)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71.0% (61.3–82.2)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70.1 (54.6–NR)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74.7% (68.3–81.6)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57.6% (46.8–70.9)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77.7% (71.4–84.6)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63.7% (52.9–76.7)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78.3% (71.7–85.5)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65.4% (55.6–76.8)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83.2 (49.4–NR)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73.6% (66.9–80.9)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57.1% (46.9–69.4)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(65.8–NR)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82.2% (75.9–89.0)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72.5% (62.6–84.0)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(56.2–NR)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74.3% (67.8–81.4)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58.1% (48.5–69.5)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(99.9–NR)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81.0% (74.2–88.6)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73.4% (63.3–85.1)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(67.2–NR)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84.5% (79.0–90.5)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70.4% (59.7–83.0)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81.3 (56.2–NR)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71.8% (64.8–79.4)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59.0% (49.3–70.7)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2026-10-04T00:32:51Z</dcterms:modified>
  <cp:category/>
</cp:coreProperties>
</file>