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Overall survival by gene expression (High vs Low), TCGA-COAD. HR from Cox regression; gene HRs (univariable, multivariable, strata, time-split) are per 1 log2 unit of expression; multivariable model adjusted for ageg, sex, pathologic stage group and pretreatment cea. Sensitivity: stratified by tss. q = Benjamini–Hochberg across exploratory genes only; the primary gene (HIST1H2AC) is reported with its unadjusted p. Time-split HRs (0–24 / &gt;24 months, adjusted) are shown only for genes whose expression term violated proportional hazards. RMST difference = High − Low restricted mean survival time up to 60 months.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51"/>
        <w:gridCol w:w="964"/>
        <w:gridCol w:w="591"/>
        <w:gridCol w:w="757"/>
        <w:gridCol w:w="2204"/>
        <w:gridCol w:w="2231"/>
        <w:gridCol w:w="994"/>
        <w:gridCol w:w="994"/>
        <w:gridCol w:w="1741"/>
        <w:gridCol w:w="1114"/>
        <w:gridCol w:w="1114"/>
        <w:gridCol w:w="1841"/>
        <w:gridCol w:w="1214"/>
        <w:gridCol w:w="1214"/>
        <w:gridCol w:w="651"/>
        <w:gridCol w:w="1141"/>
        <w:gridCol w:w="1747"/>
        <w:gridCol w:w="1121"/>
        <w:gridCol w:w="1017"/>
        <w:gridCol w:w="1564"/>
        <w:gridCol w:w="937"/>
        <w:gridCol w:w="1512"/>
        <w:gridCol w:w="886"/>
        <w:gridCol w:w="2724"/>
        <w:gridCol w:w="854"/>
        <w:gridCol w:w="1636"/>
        <w:gridCol w:w="651"/>
      </w:tblGrid>
      <w:tr>
        <w:trPr>
          <w:trHeight w:val="5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Gene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Role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Median OS Low,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Median OS High,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Log-rank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Log-rank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EPV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Stage 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Strata(TSS)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Strata(TSS)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PH global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HR 0–24 mo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 0–24 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HR &gt;24 mo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 &gt;24 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RMST difference at 60 mo,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RMST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Exploratory (EPV &lt; 10)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Note</w:t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HIST1H2AC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primary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99.9 (67.2–NR)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81.3 (56.2–NR)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1.43 (1.16–1.77)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1.26 (0.92–1.73)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0.154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1.20 (0.86–1.66)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0.287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-5.29 (-9.57, -1.01)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83.2 (62.7–NR)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1.01 (0.84–1.23)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1.33 (0.96–1.83)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1.62 (1.10–2.39)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1.16 (-3.17, 5.48)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99.9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65.8 (49.9–NR)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1.34 (0.93–1.94)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1.62 (0.99–2.65)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1.63 (1.01–2.63)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-2.15 (-6.46, 2.17)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67.2 (60.7–NR)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99.9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0.86 (0.66–1.13)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0.84 (0.58–1.20)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0.83 (0.54–1.26)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3.84 (-0.45, 8.14)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70.1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(92.7–NR)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0.95 (0.69–1.32)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1.34 (0.84–2.14)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1.48 (0.91–2.41)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1.29 (-3.00, 5.58)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(81.3–NR)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67.2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1.32 (0.93–1.88)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1.59 (0.97–2.62)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1.96 (1.09–3.55)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-1.18 (-5.48, 3.12)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(81.3–NR)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70.1 (54.6–NR)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1.38 (1.10–1.74)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1.47 (1.07–2.01)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1.58 (1.09–2.28)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-5.81 (-10.10, -1.52)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67.2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0.88 (0.74–1.05)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0.89 (0.70–1.15)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0.86 (0.66–1.12)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1.07 (0.78–1.48)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0.59 (0.38–0.90)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0.19 (-4.11, 4.48)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83.2 (49.4–NR)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99.9 (65.8–NR)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0.88 (0.71–1.10)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0.93 (0.70–1.23)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0.93 (0.67–1.29)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6.02 (1.76, 10.28)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50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MS4A1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439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67.2 (56.2–NR)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99.9 (99.9–NR)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0.95 (0.87–1.04)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0.255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0.370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0.97 (0.86–1.10)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0.638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0.638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1.01 (0.88–1.15)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0.347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5.10 (0.81, 9.38)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2026-10-04T00:32:50Z</dcterms:modified>
  <cp:category/>
</cp:coreProperties>
</file>