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HIST1H2AC expression, GSE39582 (CIT, colon).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5"/>
        <w:gridCol w:w="1251"/>
        <w:gridCol w:w="921"/>
        <w:gridCol w:w="681"/>
        <w:gridCol w:w="931"/>
        <w:gridCol w:w="2431"/>
        <w:gridCol w:w="1760"/>
        <w:gridCol w:w="1760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132.0 (106.0–NR)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(74.1–84.1)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70.2% (64.6–76.2)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183.0 (95.0–NR)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(71.8–82.1)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64.7% (58.9–71.2)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106.0 (87.0–NR)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75.8% (69.9–82.3)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66.4% (59.8–73.8)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(95.0–NR)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77.0% (71.7–82.8)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64.0% (57.7–71.1)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(69.4–80.2)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69.0% (63.3–75.2)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(59.9–71.5)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63.4% (57.7–69.7)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69.7% (63.3–76.7)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(57.4–71.8)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0.108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(78.0–NR)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62.1% (55.9–68.9)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59.8% (53.5–66.7)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2026-10-04T00:34:36Z</dcterms:modified>
  <cp:category/>
</cp:coreProperties>
</file>