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HIST1H2AC expression (High vs Low, median split of probe 215071_s_at within tumors) in GSE39582 (CIT, colon). HR from Cox regression; multivariable and time-split gene HRs are per 1 log2 unit of expression; multivariable models adjusted for ageg, sex, pathologic stage group and pretreatment cea; '+ MMR status' additionally adjusts for mmr status and '(MMR status known)' is the model without it on the same patients. Interaction p = likelihood-ratio test for HIST1H2AC expression × mmr status. Time-split HRs (0–24 / &gt;24 months, adjusted) are shown only when the gene term violated proportional hazards. RMST difference = High − Low restricted mean survival time up to 60 months. Relapse-free survival excludes stage NaN. Direction compared with the TCGA-COAD multivariable HR 1.26.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(0.84–1.48)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-1.34 (-4.33, 1.66)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1.15 (0.99–1.32)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1.10 (0.96–1.27)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1.09 (0.94–1.26)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-0.19 (-3.66,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1.06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1.36 (1.01–1.83)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-4.65 (-8.50, -0.81)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1.19 (1.03–1.38)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1.12 (0.97–1.30)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1.14 (0.98–1.33)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(0.95–1.29)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1.30 (0.95–1.79)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-4.15 (-8.60, 0.31)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1.14 (0.97–1.33)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(0.95–1.29)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2026-10-04T00:34:35Z</dcterms:modified>
  <cp:category/>
</cp:coreProperties>
</file>