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(0.41–1.39)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(0.23–2.54)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(0.52–5.11)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(0.48–5.27)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2026-10-04T00:33:01Z</dcterms:modified>
  <cp:category/>
</cp:coreProperties>
</file>