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(0.20–3.18)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(0.23–2.61)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1.65 (0.52–5.18)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(0.46–4.96)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2026-10-04T00:32:54Z</dcterms:modified>
  <cp:category/>
</cp:coreProperties>
</file>