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 (0.18–1.03)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(0.18–2.05)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(0.49–5.17)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1.74 (0.51–5.91)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2026-10-04T00:32:57Z</dcterms:modified>
  <cp:category/>
</cp:coreProperties>
</file>