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(0.30–1.11)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(0.25–2.81)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(0.52–5.06)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(0.55–6.71)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2026-10-04T00:33:06Z</dcterms:modified>
  <cp:category/>
</cp:coreProperties>
</file>