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(0.23–1.41)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(0.24–2.62)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(0.52–5.25)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(0.48–5.28)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2026-10-04T00:33:08Z</dcterms:modified>
  <cp:category/>
</cp:coreProperties>
</file>