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(0.39–1.43)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(0.24–2.66)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1.72 (0.54–5.47)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1.48 (0.46–4.79)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2026-10-04T00:33:12Z</dcterms:modified>
  <cp:category/>
</cp:coreProperties>
</file>